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844A9" w:rsidRPr="008F1269" w:rsidRDefault="00F844A9" w:rsidP="00F844A9">
      <w:pPr>
        <w:pStyle w:val="Heading1"/>
        <w:adjustRightInd w:val="0"/>
        <w:snapToGrid w:val="0"/>
        <w:spacing w:before="60" w:after="0" w:line="312" w:lineRule="auto"/>
        <w:rPr>
          <w:bCs/>
          <w:szCs w:val="24"/>
          <w:lang w:val="vi-VN"/>
        </w:rPr>
      </w:pPr>
      <w:bookmarkStart w:id="0" w:name="_Toc87763354"/>
      <w:bookmarkStart w:id="1" w:name="_Toc93272201"/>
      <w:bookmarkStart w:id="2" w:name="_Toc140398912"/>
      <w:bookmarkStart w:id="3" w:name="_Toc141360707"/>
      <w:bookmarkStart w:id="4" w:name="_Toc142836857"/>
      <w:bookmarkStart w:id="5" w:name="_Toc142987634"/>
      <w:bookmarkStart w:id="6" w:name="_Toc143067320"/>
      <w:bookmarkStart w:id="7" w:name="_Toc85549790"/>
      <w:bookmarkStart w:id="8" w:name="_Toc153333274"/>
      <w:r w:rsidRPr="00BB3852">
        <w:rPr>
          <w:lang w:val="ru-RU"/>
        </w:rPr>
        <w:t>29</w:t>
      </w:r>
      <w:r>
        <w:rPr>
          <w:lang w:val="vi-VN"/>
        </w:rPr>
        <w:t>6</w:t>
      </w:r>
      <w:r w:rsidRPr="00BB3852">
        <w:rPr>
          <w:lang w:val="ru-RU"/>
        </w:rPr>
        <w:t xml:space="preserve">. </w:t>
      </w:r>
      <w:r w:rsidRPr="008F1269">
        <w:rPr>
          <w:lang w:val="vi-VN"/>
        </w:rPr>
        <w:t>VƯƠNG QUỐC SRIVIJAYA (650</w:t>
      </w:r>
      <w:r w:rsidRPr="00BB3852">
        <w:rPr>
          <w:lang w:val="ru-RU"/>
        </w:rPr>
        <w:t xml:space="preserve"> </w:t>
      </w:r>
      <w:r>
        <w:rPr>
          <w:lang w:val="vi-VN"/>
        </w:rPr>
        <w:t>–</w:t>
      </w:r>
      <w:r w:rsidRPr="00BB3852">
        <w:rPr>
          <w:lang w:val="ru-RU"/>
        </w:rPr>
        <w:t xml:space="preserve"> </w:t>
      </w:r>
      <w:r w:rsidRPr="008F1269">
        <w:rPr>
          <w:lang w:val="vi-VN"/>
        </w:rPr>
        <w:t>1377)</w:t>
      </w:r>
      <w:bookmarkEnd w:id="0"/>
      <w:bookmarkEnd w:id="1"/>
      <w:bookmarkEnd w:id="2"/>
      <w:bookmarkEnd w:id="3"/>
      <w:bookmarkEnd w:id="4"/>
      <w:bookmarkEnd w:id="5"/>
      <w:bookmarkEnd w:id="6"/>
      <w:bookmarkEnd w:id="8"/>
      <w:r w:rsidRPr="008F1269">
        <w:rPr>
          <w:lang w:val="vi-VN"/>
        </w:rPr>
        <w:t xml:space="preserve"> </w:t>
      </w:r>
      <w:bookmarkEnd w:id="7"/>
    </w:p>
    <w:p w:rsidR="00F844A9" w:rsidRPr="008F1269" w:rsidRDefault="00F844A9" w:rsidP="00F844A9">
      <w:pPr>
        <w:adjustRightInd w:val="0"/>
        <w:snapToGrid w:val="0"/>
        <w:spacing w:before="60" w:line="312" w:lineRule="auto"/>
        <w:ind w:firstLine="567"/>
        <w:jc w:val="both"/>
        <w:rPr>
          <w:szCs w:val="28"/>
          <w:lang w:val="vi-VN"/>
        </w:rPr>
      </w:pPr>
      <w:r w:rsidRPr="008F1269">
        <w:rPr>
          <w:szCs w:val="28"/>
          <w:lang w:val="vi-VN"/>
        </w:rPr>
        <w:t xml:space="preserve">vương quốc cổ trên </w:t>
      </w:r>
      <w:r w:rsidRPr="00396B3E">
        <w:rPr>
          <w:szCs w:val="28"/>
          <w:lang w:val="vi-VN"/>
        </w:rPr>
        <w:t>Q</w:t>
      </w:r>
      <w:r w:rsidRPr="008F1269">
        <w:rPr>
          <w:szCs w:val="28"/>
          <w:lang w:val="vi-VN"/>
        </w:rPr>
        <w:t xml:space="preserve">uần đảo Indonesia và </w:t>
      </w:r>
      <w:r w:rsidRPr="00396B3E">
        <w:rPr>
          <w:szCs w:val="28"/>
          <w:lang w:val="vi-VN"/>
        </w:rPr>
        <w:t>B</w:t>
      </w:r>
      <w:r w:rsidRPr="008F1269">
        <w:rPr>
          <w:szCs w:val="28"/>
          <w:lang w:val="vi-VN"/>
        </w:rPr>
        <w:t>án đảo Malay, tồn tại từ giữa thế k</w:t>
      </w:r>
      <w:r w:rsidRPr="00BB3852">
        <w:rPr>
          <w:szCs w:val="28"/>
          <w:lang w:val="vi-VN"/>
        </w:rPr>
        <w:t>ỷ</w:t>
      </w:r>
      <w:r w:rsidRPr="008F1269">
        <w:rPr>
          <w:szCs w:val="28"/>
          <w:lang w:val="vi-VN"/>
        </w:rPr>
        <w:t xml:space="preserve"> VII đến cuối thế k</w:t>
      </w:r>
      <w:r w:rsidRPr="00BB3852">
        <w:rPr>
          <w:szCs w:val="28"/>
          <w:lang w:val="vi-VN"/>
        </w:rPr>
        <w:t>ỷ</w:t>
      </w:r>
      <w:r w:rsidRPr="008F1269">
        <w:rPr>
          <w:szCs w:val="28"/>
          <w:lang w:val="vi-VN"/>
        </w:rPr>
        <w:t xml:space="preserve"> XIV. Vương quốc Srivijaya (vt. VQS) được coi là một thể chế thương mại hàng hải hùng mạnh của Đông Nam Á thời tiền hiện đại. Trung tâm quyền lực của VQS là vùng duyên hải </w:t>
      </w:r>
      <w:r w:rsidRPr="00BB3852">
        <w:rPr>
          <w:szCs w:val="28"/>
          <w:lang w:val="vi-VN"/>
        </w:rPr>
        <w:t>Đ</w:t>
      </w:r>
      <w:r w:rsidRPr="008F1269">
        <w:rPr>
          <w:szCs w:val="28"/>
          <w:lang w:val="vi-VN"/>
        </w:rPr>
        <w:t xml:space="preserve">ông </w:t>
      </w:r>
      <w:r w:rsidRPr="00BB3852">
        <w:rPr>
          <w:szCs w:val="28"/>
          <w:lang w:val="vi-VN"/>
        </w:rPr>
        <w:t>N</w:t>
      </w:r>
      <w:r w:rsidRPr="008F1269">
        <w:rPr>
          <w:szCs w:val="28"/>
          <w:lang w:val="vi-VN"/>
        </w:rPr>
        <w:t xml:space="preserve">am Sumatra, trong khi phạm vi ảnh hưởng của thể chế này bao gồm </w:t>
      </w:r>
      <w:r>
        <w:rPr>
          <w:szCs w:val="28"/>
          <w:lang w:val="vi-VN"/>
        </w:rPr>
        <w:t xml:space="preserve">Đảo </w:t>
      </w:r>
      <w:r w:rsidRPr="008F1269">
        <w:rPr>
          <w:szCs w:val="28"/>
          <w:lang w:val="vi-VN"/>
        </w:rPr>
        <w:t xml:space="preserve">Sumatra, miền </w:t>
      </w:r>
      <w:r w:rsidRPr="00396B3E">
        <w:rPr>
          <w:szCs w:val="28"/>
          <w:lang w:val="vi-VN"/>
        </w:rPr>
        <w:t>T</w:t>
      </w:r>
      <w:r w:rsidRPr="008F1269">
        <w:rPr>
          <w:szCs w:val="28"/>
          <w:lang w:val="vi-VN"/>
        </w:rPr>
        <w:t xml:space="preserve">ây </w:t>
      </w:r>
      <w:r w:rsidRPr="00396B3E">
        <w:rPr>
          <w:szCs w:val="28"/>
          <w:lang w:val="vi-VN"/>
        </w:rPr>
        <w:t>Đ</w:t>
      </w:r>
      <w:r w:rsidRPr="008F1269">
        <w:rPr>
          <w:szCs w:val="28"/>
          <w:lang w:val="vi-VN"/>
        </w:rPr>
        <w:t xml:space="preserve">ảo Java, Borneo và </w:t>
      </w:r>
      <w:r w:rsidRPr="00396B3E">
        <w:rPr>
          <w:szCs w:val="28"/>
          <w:lang w:val="vi-VN"/>
        </w:rPr>
        <w:t>B</w:t>
      </w:r>
      <w:r w:rsidRPr="008F1269">
        <w:rPr>
          <w:szCs w:val="28"/>
          <w:lang w:val="vi-VN"/>
        </w:rPr>
        <w:t>án đảo Malay.</w:t>
      </w:r>
    </w:p>
    <w:p w:rsidR="00F844A9" w:rsidRPr="008F1269" w:rsidRDefault="00F844A9" w:rsidP="00F844A9">
      <w:pPr>
        <w:adjustRightInd w:val="0"/>
        <w:snapToGrid w:val="0"/>
        <w:spacing w:before="60" w:line="312" w:lineRule="auto"/>
        <w:ind w:firstLine="567"/>
        <w:jc w:val="both"/>
        <w:rPr>
          <w:szCs w:val="28"/>
          <w:lang w:val="vi-VN"/>
        </w:rPr>
      </w:pPr>
      <w:r w:rsidRPr="008F1269">
        <w:rPr>
          <w:szCs w:val="28"/>
          <w:lang w:val="vi-VN"/>
        </w:rPr>
        <w:t>Sự hình thành của VQS gắn liền với sự phát triển thương mại biển ở Đông Nam Á. Từ thế k</w:t>
      </w:r>
      <w:r w:rsidRPr="00BB3852">
        <w:rPr>
          <w:szCs w:val="28"/>
          <w:lang w:val="vi-VN"/>
        </w:rPr>
        <w:t>ỷ</w:t>
      </w:r>
      <w:r w:rsidRPr="008F1269">
        <w:rPr>
          <w:szCs w:val="28"/>
          <w:lang w:val="vi-VN"/>
        </w:rPr>
        <w:t xml:space="preserve"> III</w:t>
      </w:r>
      <w:r w:rsidRPr="00BB3852">
        <w:rPr>
          <w:szCs w:val="28"/>
          <w:lang w:val="vi-VN"/>
        </w:rPr>
        <w:t xml:space="preserve"> </w:t>
      </w:r>
      <w:r w:rsidRPr="00396B3E">
        <w:rPr>
          <w:szCs w:val="28"/>
          <w:lang w:val="vi-VN"/>
        </w:rPr>
        <w:t>đến thế kỷ</w:t>
      </w:r>
      <w:r w:rsidRPr="00BB3852">
        <w:rPr>
          <w:szCs w:val="28"/>
          <w:lang w:val="vi-VN"/>
        </w:rPr>
        <w:t xml:space="preserve"> </w:t>
      </w:r>
      <w:r w:rsidRPr="008F1269">
        <w:rPr>
          <w:szCs w:val="28"/>
          <w:lang w:val="vi-VN"/>
        </w:rPr>
        <w:t xml:space="preserve">IV, tiến bộ kỹ thuật hàng hải thúc đẩy hoạt động thương mại từ ven bờ ra đại dương, qua eo Malacca. Vùng duyên hải </w:t>
      </w:r>
      <w:r>
        <w:rPr>
          <w:szCs w:val="28"/>
          <w:lang w:val="vi-VN"/>
        </w:rPr>
        <w:t xml:space="preserve">Đảo </w:t>
      </w:r>
      <w:r w:rsidRPr="008F1269">
        <w:rPr>
          <w:szCs w:val="28"/>
          <w:lang w:val="vi-VN"/>
        </w:rPr>
        <w:t>Sumatra tận dụng vị thế chiến lược để gia nhập vào Con đường tơ lụa trên biển và gia tăng trao đổi với thị trường Trung Quốc đã được thống nhất thời Tùy, Đường.</w:t>
      </w:r>
    </w:p>
    <w:p w:rsidR="00F844A9" w:rsidRPr="008F1269" w:rsidRDefault="00F844A9" w:rsidP="00F844A9">
      <w:pPr>
        <w:adjustRightInd w:val="0"/>
        <w:snapToGrid w:val="0"/>
        <w:spacing w:before="60" w:line="312" w:lineRule="auto"/>
        <w:ind w:firstLine="567"/>
        <w:jc w:val="both"/>
        <w:rPr>
          <w:szCs w:val="28"/>
          <w:lang w:val="vi-VN"/>
        </w:rPr>
      </w:pPr>
      <w:r w:rsidRPr="008F1269">
        <w:rPr>
          <w:szCs w:val="28"/>
          <w:lang w:val="vi-VN"/>
        </w:rPr>
        <w:t xml:space="preserve">VQS bắt đầu được biết đến vào giữa </w:t>
      </w:r>
      <w:r>
        <w:rPr>
          <w:szCs w:val="28"/>
          <w:lang w:val="vi-VN"/>
        </w:rPr>
        <w:t>thế kỷ</w:t>
      </w:r>
      <w:r w:rsidRPr="008F1269">
        <w:rPr>
          <w:szCs w:val="28"/>
          <w:lang w:val="vi-VN"/>
        </w:rPr>
        <w:t xml:space="preserve"> VII. Nhà sư Trung Quốc Nghĩa Tịnh (635</w:t>
      </w:r>
      <w:r w:rsidRPr="00BB3852">
        <w:rPr>
          <w:szCs w:val="28"/>
          <w:lang w:val="vi-VN"/>
        </w:rPr>
        <w:t xml:space="preserve"> </w:t>
      </w:r>
      <w:r>
        <w:rPr>
          <w:szCs w:val="28"/>
          <w:lang w:val="vi-VN"/>
        </w:rPr>
        <w:t>–</w:t>
      </w:r>
      <w:r w:rsidRPr="00BB3852">
        <w:rPr>
          <w:szCs w:val="28"/>
          <w:lang w:val="vi-VN"/>
        </w:rPr>
        <w:t xml:space="preserve"> </w:t>
      </w:r>
      <w:r w:rsidRPr="008F1269">
        <w:rPr>
          <w:szCs w:val="28"/>
          <w:lang w:val="vi-VN"/>
        </w:rPr>
        <w:t xml:space="preserve">713) dừng chân tại đây trên đường sang Ấn Độ và cho biết tên của thể chế này là </w:t>
      </w:r>
      <w:r w:rsidRPr="008F1269">
        <w:rPr>
          <w:i/>
          <w:szCs w:val="28"/>
          <w:lang w:val="vi-VN"/>
        </w:rPr>
        <w:t>Phật Thệ</w:t>
      </w:r>
      <w:r w:rsidRPr="008F1269">
        <w:rPr>
          <w:szCs w:val="28"/>
          <w:lang w:val="vi-VN"/>
        </w:rPr>
        <w:t xml:space="preserve"> (</w:t>
      </w:r>
      <w:r w:rsidRPr="008F1269">
        <w:rPr>
          <w:i/>
          <w:szCs w:val="28"/>
          <w:lang w:val="vi-VN"/>
        </w:rPr>
        <w:t>Thất Lợi Phật Thệ</w:t>
      </w:r>
      <w:r w:rsidRPr="008F1269">
        <w:rPr>
          <w:szCs w:val="28"/>
          <w:lang w:val="vi-VN"/>
        </w:rPr>
        <w:t>). Ông cũng lưu ý rằng đây là trung tâm thương mại ở vùng biển phía nam. Phần lớn các văn bia quan trọng của vương quốc được biên soạn trong khoảng năm 683</w:t>
      </w:r>
      <w:r w:rsidRPr="00BB3852">
        <w:rPr>
          <w:szCs w:val="28"/>
          <w:lang w:val="vi-VN"/>
        </w:rPr>
        <w:t xml:space="preserve"> </w:t>
      </w:r>
      <w:r>
        <w:rPr>
          <w:szCs w:val="28"/>
          <w:lang w:val="vi-VN"/>
        </w:rPr>
        <w:t>–</w:t>
      </w:r>
      <w:r w:rsidRPr="00BB3852">
        <w:rPr>
          <w:szCs w:val="28"/>
          <w:lang w:val="vi-VN"/>
        </w:rPr>
        <w:t xml:space="preserve"> </w:t>
      </w:r>
      <w:r w:rsidRPr="008F1269">
        <w:rPr>
          <w:szCs w:val="28"/>
          <w:lang w:val="vi-VN"/>
        </w:rPr>
        <w:t>686, tập trung ở khu vực Palembang. Đó là cơ sở để các học giả đoán định về niên đại ra đời và trung tâm của VQS, ban đầu ở Palembang (thế k</w:t>
      </w:r>
      <w:r w:rsidRPr="00BB3852">
        <w:rPr>
          <w:szCs w:val="28"/>
          <w:lang w:val="vi-VN"/>
        </w:rPr>
        <w:t>ỷ</w:t>
      </w:r>
      <w:r w:rsidRPr="008F1269">
        <w:rPr>
          <w:szCs w:val="28"/>
          <w:lang w:val="vi-VN"/>
        </w:rPr>
        <w:t xml:space="preserve"> VII</w:t>
      </w:r>
      <w:r w:rsidRPr="00BB3852">
        <w:rPr>
          <w:szCs w:val="28"/>
          <w:lang w:val="vi-VN"/>
        </w:rPr>
        <w:t xml:space="preserve"> </w:t>
      </w:r>
      <w:r>
        <w:rPr>
          <w:szCs w:val="28"/>
          <w:lang w:val="vi-VN"/>
        </w:rPr>
        <w:t>–</w:t>
      </w:r>
      <w:r w:rsidRPr="00BB3852">
        <w:rPr>
          <w:szCs w:val="28"/>
          <w:lang w:val="vi-VN"/>
        </w:rPr>
        <w:t xml:space="preserve"> </w:t>
      </w:r>
      <w:r w:rsidRPr="008F1269">
        <w:rPr>
          <w:szCs w:val="28"/>
          <w:lang w:val="vi-VN"/>
        </w:rPr>
        <w:t>XI), sau đó dịch chuyển về Jambi ở phía bắc (cuối thế k</w:t>
      </w:r>
      <w:r w:rsidRPr="00BB3852">
        <w:rPr>
          <w:szCs w:val="28"/>
          <w:lang w:val="vi-VN"/>
        </w:rPr>
        <w:t>ỷ</w:t>
      </w:r>
      <w:r w:rsidRPr="008F1269">
        <w:rPr>
          <w:szCs w:val="28"/>
          <w:lang w:val="vi-VN"/>
        </w:rPr>
        <w:t xml:space="preserve"> XI).</w:t>
      </w:r>
    </w:p>
    <w:p w:rsidR="00F844A9" w:rsidRPr="008F1269" w:rsidRDefault="00F844A9" w:rsidP="00F844A9">
      <w:pPr>
        <w:adjustRightInd w:val="0"/>
        <w:snapToGrid w:val="0"/>
        <w:spacing w:before="60" w:line="312" w:lineRule="auto"/>
        <w:ind w:firstLine="567"/>
        <w:jc w:val="both"/>
        <w:rPr>
          <w:szCs w:val="28"/>
          <w:lang w:val="vi-VN"/>
        </w:rPr>
      </w:pPr>
      <w:r w:rsidRPr="008F1269">
        <w:rPr>
          <w:szCs w:val="28"/>
          <w:lang w:val="vi-VN"/>
        </w:rPr>
        <w:t>Tư liệu Trung Quốc và Arab cho thấy VQS là một trung tâm tôn giáo quan trọng, đầu mối thương mại giàu có, sở hữu nhiều nguồn hương liệu, gia vị, và là một quyền lực hàng hải khu vực. Nhà sư Nghĩa Tịnh mô tả nơi đây có hơn 1000 nhà sư chuyên tâm nghiên cứu các chủ đề Phật giáo giống như tại Ấn Độ và khuyên bất cứ nhà tu hành nào hãy học tập ở VQS một năm trước khi tới Ấn Độ. Nhà địa lý Masudi viết: Srivijaya có dân số khổng lồ và những đạo quân đông vô kể. Trong vòng hai năm, không một ai, dù với các tàu thuyền chạy nhanh nhất có thể đi qua hết các hòn đảo có người ở</w:t>
      </w:r>
      <w:r w:rsidRPr="00BB3852">
        <w:rPr>
          <w:szCs w:val="28"/>
          <w:lang w:val="vi-VN"/>
        </w:rPr>
        <w:t>,</w:t>
      </w:r>
      <w:r w:rsidRPr="008F1269">
        <w:rPr>
          <w:szCs w:val="28"/>
          <w:lang w:val="vi-VN"/>
        </w:rPr>
        <w:t>…</w:t>
      </w:r>
    </w:p>
    <w:p w:rsidR="00F844A9" w:rsidRPr="008F1269" w:rsidRDefault="00F844A9" w:rsidP="00F844A9">
      <w:pPr>
        <w:adjustRightInd w:val="0"/>
        <w:snapToGrid w:val="0"/>
        <w:spacing w:before="60" w:line="312" w:lineRule="auto"/>
        <w:ind w:firstLine="567"/>
        <w:jc w:val="both"/>
        <w:rPr>
          <w:szCs w:val="28"/>
          <w:lang w:val="vi-VN"/>
        </w:rPr>
      </w:pPr>
      <w:r w:rsidRPr="008F1269">
        <w:rPr>
          <w:szCs w:val="28"/>
          <w:lang w:val="vi-VN"/>
        </w:rPr>
        <w:t>Sự phát triển này được cho là đã diễn ra liên tục ở các thế k</w:t>
      </w:r>
      <w:r w:rsidRPr="00BB3852">
        <w:rPr>
          <w:szCs w:val="28"/>
          <w:lang w:val="vi-VN"/>
        </w:rPr>
        <w:t>ỷ</w:t>
      </w:r>
      <w:r w:rsidRPr="008F1269">
        <w:rPr>
          <w:szCs w:val="28"/>
          <w:lang w:val="vi-VN"/>
        </w:rPr>
        <w:t xml:space="preserve"> VII</w:t>
      </w:r>
      <w:r w:rsidRPr="00BB3852">
        <w:rPr>
          <w:szCs w:val="28"/>
          <w:lang w:val="vi-VN"/>
        </w:rPr>
        <w:t xml:space="preserve"> </w:t>
      </w:r>
      <w:r>
        <w:rPr>
          <w:szCs w:val="28"/>
          <w:lang w:val="vi-VN"/>
        </w:rPr>
        <w:t>–</w:t>
      </w:r>
      <w:r w:rsidRPr="00BB3852">
        <w:rPr>
          <w:szCs w:val="28"/>
          <w:lang w:val="vi-VN"/>
        </w:rPr>
        <w:t xml:space="preserve"> </w:t>
      </w:r>
      <w:r w:rsidRPr="008F1269">
        <w:rPr>
          <w:szCs w:val="28"/>
          <w:lang w:val="vi-VN"/>
        </w:rPr>
        <w:t xml:space="preserve">XIII. Sử </w:t>
      </w:r>
      <w:r>
        <w:rPr>
          <w:szCs w:val="28"/>
          <w:lang w:val="vi-VN"/>
        </w:rPr>
        <w:t>Nhà</w:t>
      </w:r>
      <w:r w:rsidRPr="008F1269">
        <w:rPr>
          <w:szCs w:val="28"/>
          <w:lang w:val="vi-VN"/>
        </w:rPr>
        <w:t xml:space="preserve"> Tống chép năm 1017, Maharaja Srivijaya thông báo với Trung Quốc rằng ông ta là “</w:t>
      </w:r>
      <w:r>
        <w:rPr>
          <w:szCs w:val="28"/>
          <w:lang w:val="vi-VN"/>
        </w:rPr>
        <w:t>Vua</w:t>
      </w:r>
      <w:r w:rsidRPr="008F1269">
        <w:rPr>
          <w:szCs w:val="28"/>
          <w:lang w:val="vi-VN"/>
        </w:rPr>
        <w:t xml:space="preserve"> của tất cả các vùng đất trên đại dương”. Chu Khứ Phi, quan chức ở thế </w:t>
      </w:r>
      <w:r w:rsidRPr="008F1269">
        <w:rPr>
          <w:szCs w:val="28"/>
          <w:lang w:val="vi-VN"/>
        </w:rPr>
        <w:lastRenderedPageBreak/>
        <w:t>k</w:t>
      </w:r>
      <w:r w:rsidRPr="00BB3852">
        <w:rPr>
          <w:szCs w:val="28"/>
          <w:lang w:val="vi-VN"/>
        </w:rPr>
        <w:t>ỷ</w:t>
      </w:r>
      <w:r w:rsidRPr="008F1269">
        <w:rPr>
          <w:szCs w:val="28"/>
          <w:lang w:val="vi-VN"/>
        </w:rPr>
        <w:t xml:space="preserve"> XII thì cho biết: trong đánh nhau trên bộ lẫn trên biển, không ai có thể vượt được Srivijaya</w:t>
      </w:r>
      <w:r w:rsidRPr="008F1269">
        <w:rPr>
          <w:i/>
          <w:szCs w:val="28"/>
          <w:lang w:val="vi-VN"/>
        </w:rPr>
        <w:t>.</w:t>
      </w:r>
    </w:p>
    <w:p w:rsidR="00F844A9" w:rsidRPr="008F1269" w:rsidRDefault="00F844A9" w:rsidP="00F844A9">
      <w:pPr>
        <w:adjustRightInd w:val="0"/>
        <w:snapToGrid w:val="0"/>
        <w:spacing w:before="60" w:line="312" w:lineRule="auto"/>
        <w:ind w:firstLine="567"/>
        <w:jc w:val="both"/>
        <w:rPr>
          <w:szCs w:val="28"/>
          <w:lang w:val="vi-VN"/>
        </w:rPr>
      </w:pPr>
      <w:r w:rsidRPr="008F1269">
        <w:rPr>
          <w:szCs w:val="28"/>
          <w:lang w:val="vi-VN"/>
        </w:rPr>
        <w:t xml:space="preserve">Tuy vậy, hiểu biết của chúng ta về sự vận hành kinh tế, chính trị của VQS vẫn còn hạn chế. Các nguồn hàng, cảng thị, và trung tâm chính trị của VQS được tổ chức thành hệ thống trao đổi ven sông và duyên hải. Bia Telaga Batu (683) gợi ý về tổ chức chính trị có nhiều đặc thù của thế giới Malay nơi người cai trị dựa trên </w:t>
      </w:r>
      <w:r w:rsidRPr="008F1269">
        <w:rPr>
          <w:szCs w:val="28"/>
          <w:shd w:val="clear" w:color="auto" w:fill="FFFFFF"/>
          <w:lang w:val="vi-VN"/>
        </w:rPr>
        <w:t xml:space="preserve">sự bảo trợ, lòng trung thành, sức mạnh và lợi ích kinh tế. Nhà vua xác </w:t>
      </w:r>
      <w:r w:rsidRPr="008F1269">
        <w:rPr>
          <w:szCs w:val="28"/>
          <w:lang w:val="vi-VN"/>
        </w:rPr>
        <w:t xml:space="preserve">lập cung điện (kraton) ở </w:t>
      </w:r>
      <w:r w:rsidRPr="00BB3852">
        <w:rPr>
          <w:szCs w:val="28"/>
          <w:lang w:val="vi-VN"/>
        </w:rPr>
        <w:t>Đ</w:t>
      </w:r>
      <w:r w:rsidRPr="008F1269">
        <w:rPr>
          <w:szCs w:val="28"/>
          <w:lang w:val="vi-VN"/>
        </w:rPr>
        <w:t xml:space="preserve">ông </w:t>
      </w:r>
      <w:r w:rsidRPr="00BB3852">
        <w:rPr>
          <w:szCs w:val="28"/>
          <w:lang w:val="vi-VN"/>
        </w:rPr>
        <w:t>N</w:t>
      </w:r>
      <w:r w:rsidRPr="008F1269">
        <w:rPr>
          <w:szCs w:val="28"/>
          <w:lang w:val="vi-VN"/>
        </w:rPr>
        <w:t>am Sumatra. Ông được gọi là Maharaja theo truyền thống vương quyền Ấn Độ, được sự phò tá của các thủ lĩnh (datus) ở triều đình và chư hầu địa phương.</w:t>
      </w:r>
    </w:p>
    <w:p w:rsidR="00F844A9" w:rsidRPr="009618B4" w:rsidRDefault="00F844A9" w:rsidP="00F844A9">
      <w:pPr>
        <w:adjustRightInd w:val="0"/>
        <w:snapToGrid w:val="0"/>
        <w:spacing w:before="60" w:line="312" w:lineRule="auto"/>
        <w:ind w:firstLine="567"/>
        <w:jc w:val="both"/>
        <w:rPr>
          <w:spacing w:val="-2"/>
          <w:szCs w:val="28"/>
          <w:lang w:val="vi-VN"/>
        </w:rPr>
      </w:pPr>
      <w:r w:rsidRPr="009618B4">
        <w:rPr>
          <w:spacing w:val="-2"/>
          <w:szCs w:val="28"/>
          <w:lang w:val="vi-VN"/>
        </w:rPr>
        <w:t>Chúng ta biết nhiều hơn tới khung cảnh địa lý, tộc người và tài nguyên thiên nhiên giúp duy trì vị thế kinh tế của thể chế này. Thành phần cư dân chủ đạo trong khu vực là những người nói tiếng Malay nổi tiếng với kỹ thuật hàng hải. VQS tọa lạc ở trung tâm của một thế giới biển sôi động, nơi hiện diện nhiều nhóm thương nhân từ Ấn Độ, Arab, Ba Tư, Trung Quốc,… Những người bị thu hút bởi tiếng gọi của vàng, trầm hương, đinh hương, hồ tiêu, nhục đậu khấu,…</w:t>
      </w:r>
    </w:p>
    <w:p w:rsidR="00F844A9" w:rsidRPr="008F1269" w:rsidRDefault="00F844A9" w:rsidP="00F844A9">
      <w:pPr>
        <w:adjustRightInd w:val="0"/>
        <w:snapToGrid w:val="0"/>
        <w:spacing w:before="60" w:line="312" w:lineRule="auto"/>
        <w:ind w:firstLine="567"/>
        <w:jc w:val="both"/>
        <w:rPr>
          <w:spacing w:val="2"/>
          <w:szCs w:val="28"/>
          <w:lang w:val="vi-VN"/>
        </w:rPr>
      </w:pPr>
      <w:r w:rsidRPr="008F1269">
        <w:rPr>
          <w:spacing w:val="2"/>
          <w:szCs w:val="28"/>
          <w:lang w:val="vi-VN"/>
        </w:rPr>
        <w:t xml:space="preserve">Quan hệ với Trung Quốc đóng vai trò quan trọng đối với sự vận hành kinh tế và quyền lực chính trị của VQS. Vương quốc phái nhiều sứ đoàn tới </w:t>
      </w:r>
      <w:r>
        <w:rPr>
          <w:spacing w:val="2"/>
          <w:szCs w:val="28"/>
          <w:lang w:val="vi-VN"/>
        </w:rPr>
        <w:t>Triều đình</w:t>
      </w:r>
      <w:r w:rsidRPr="008F1269">
        <w:rPr>
          <w:spacing w:val="2"/>
          <w:szCs w:val="28"/>
          <w:lang w:val="vi-VN"/>
        </w:rPr>
        <w:t xml:space="preserve"> Đường, Tống, nơi mà từ thế k</w:t>
      </w:r>
      <w:r w:rsidRPr="00BB3852">
        <w:rPr>
          <w:spacing w:val="2"/>
          <w:szCs w:val="28"/>
          <w:lang w:val="vi-VN"/>
        </w:rPr>
        <w:t>ỷ</w:t>
      </w:r>
      <w:r w:rsidRPr="008F1269">
        <w:rPr>
          <w:spacing w:val="2"/>
          <w:szCs w:val="28"/>
          <w:lang w:val="vi-VN"/>
        </w:rPr>
        <w:t xml:space="preserve"> X, nó sẽ xuất hiện với tên gọi </w:t>
      </w:r>
      <w:r w:rsidRPr="008F1269">
        <w:rPr>
          <w:i/>
          <w:spacing w:val="2"/>
          <w:szCs w:val="28"/>
          <w:lang w:val="vi-VN"/>
        </w:rPr>
        <w:t>Tam Phật Tề</w:t>
      </w:r>
      <w:r w:rsidRPr="008F1269">
        <w:rPr>
          <w:spacing w:val="2"/>
          <w:szCs w:val="28"/>
          <w:lang w:val="vi-VN"/>
        </w:rPr>
        <w:t>. Triều cống không chỉ bảo đảm cho quyền lực của VQS trong thế giới hải đảo mà còn là một kênh thương mại. VQS mở rộng quan hệ với Ấn Độ và dựng một ngôi chùa ở Nalanda (Bengal) vào thế k</w:t>
      </w:r>
      <w:r w:rsidRPr="00BB3852">
        <w:rPr>
          <w:spacing w:val="2"/>
          <w:szCs w:val="28"/>
          <w:lang w:val="vi-VN"/>
        </w:rPr>
        <w:t>ỷ</w:t>
      </w:r>
      <w:r w:rsidRPr="008F1269">
        <w:rPr>
          <w:spacing w:val="2"/>
          <w:szCs w:val="28"/>
          <w:lang w:val="vi-VN"/>
        </w:rPr>
        <w:t xml:space="preserve"> IX. Tuy nhiên từ thế k</w:t>
      </w:r>
      <w:r w:rsidRPr="00BB3852">
        <w:rPr>
          <w:spacing w:val="2"/>
          <w:szCs w:val="28"/>
          <w:lang w:val="vi-VN"/>
        </w:rPr>
        <w:t>ỷ</w:t>
      </w:r>
      <w:r w:rsidRPr="008F1269">
        <w:rPr>
          <w:spacing w:val="2"/>
          <w:szCs w:val="28"/>
          <w:lang w:val="vi-VN"/>
        </w:rPr>
        <w:t xml:space="preserve"> X, VQS bị thách thức bởi các đối thủ mới từ miền </w:t>
      </w:r>
      <w:r>
        <w:rPr>
          <w:spacing w:val="2"/>
          <w:szCs w:val="28"/>
        </w:rPr>
        <w:t>Đ</w:t>
      </w:r>
      <w:r w:rsidRPr="008F1269">
        <w:rPr>
          <w:spacing w:val="2"/>
          <w:szCs w:val="28"/>
          <w:lang w:val="vi-VN"/>
        </w:rPr>
        <w:t xml:space="preserve">ông </w:t>
      </w:r>
      <w:r>
        <w:rPr>
          <w:spacing w:val="2"/>
          <w:szCs w:val="28"/>
        </w:rPr>
        <w:t>Đ</w:t>
      </w:r>
      <w:r w:rsidRPr="008F1269">
        <w:rPr>
          <w:spacing w:val="2"/>
          <w:szCs w:val="28"/>
          <w:lang w:val="vi-VN"/>
        </w:rPr>
        <w:t xml:space="preserve">ảo Java. Năm 1016, </w:t>
      </w:r>
      <w:r>
        <w:rPr>
          <w:spacing w:val="2"/>
          <w:szCs w:val="28"/>
          <w:lang w:val="vi-VN"/>
        </w:rPr>
        <w:t>Vương triều</w:t>
      </w:r>
      <w:r w:rsidRPr="008F1269">
        <w:rPr>
          <w:spacing w:val="2"/>
          <w:szCs w:val="28"/>
          <w:lang w:val="vi-VN"/>
        </w:rPr>
        <w:t xml:space="preserve"> Chola (Ấn Độ) tiến hành viễn chinh chiếm giữ các cảng thị trên vùng hải đảo cho tới năm 1045. Cuối thế k</w:t>
      </w:r>
      <w:r w:rsidRPr="00BB3852">
        <w:rPr>
          <w:spacing w:val="2"/>
          <w:szCs w:val="28"/>
          <w:lang w:val="vi-VN"/>
        </w:rPr>
        <w:t>ỷ</w:t>
      </w:r>
      <w:r w:rsidRPr="008F1269">
        <w:rPr>
          <w:spacing w:val="2"/>
          <w:szCs w:val="28"/>
          <w:lang w:val="vi-VN"/>
        </w:rPr>
        <w:t xml:space="preserve"> XI, VQS tìm cách khôi phục lại vị thế, mặc dù vậy khung cảnh hàng hải Ấn Độ Dương</w:t>
      </w:r>
      <w:r>
        <w:rPr>
          <w:spacing w:val="2"/>
          <w:szCs w:val="28"/>
          <w:lang w:val="vi-VN"/>
        </w:rPr>
        <w:t>–</w:t>
      </w:r>
      <w:r w:rsidRPr="008F1269">
        <w:rPr>
          <w:spacing w:val="2"/>
          <w:szCs w:val="28"/>
          <w:lang w:val="vi-VN"/>
        </w:rPr>
        <w:t xml:space="preserve">Thái Bình Dương đã thay đổi. Cuộc tấn công của </w:t>
      </w:r>
      <w:r>
        <w:rPr>
          <w:spacing w:val="2"/>
          <w:szCs w:val="28"/>
          <w:lang w:val="vi-VN"/>
        </w:rPr>
        <w:t>Triều Nguyên</w:t>
      </w:r>
      <w:r w:rsidRPr="008F1269">
        <w:rPr>
          <w:spacing w:val="2"/>
          <w:szCs w:val="28"/>
          <w:lang w:val="vi-VN"/>
        </w:rPr>
        <w:t>, gia tăng thương mại tư nhân Trung Quốc,</w:t>
      </w:r>
      <w:r w:rsidRPr="00BB3852">
        <w:rPr>
          <w:spacing w:val="2"/>
          <w:szCs w:val="28"/>
          <w:lang w:val="vi-VN"/>
        </w:rPr>
        <w:t xml:space="preserve"> </w:t>
      </w:r>
      <w:r w:rsidRPr="008F1269">
        <w:rPr>
          <w:spacing w:val="2"/>
          <w:szCs w:val="28"/>
          <w:lang w:val="vi-VN"/>
        </w:rPr>
        <w:t xml:space="preserve">sự xuất hiện của </w:t>
      </w:r>
      <w:r w:rsidRPr="008F1269">
        <w:rPr>
          <w:szCs w:val="28"/>
          <w:lang w:val="vi-VN"/>
        </w:rPr>
        <w:t>Islam</w:t>
      </w:r>
      <w:r w:rsidRPr="008F1269">
        <w:rPr>
          <w:spacing w:val="2"/>
          <w:szCs w:val="28"/>
          <w:lang w:val="vi-VN"/>
        </w:rPr>
        <w:t xml:space="preserve"> giáo, sự nổi lên của Sukhothai, Ayutthaya, Majapahit đã dịch chuyển cấu trúc địa chính trị, kinh tế khu vực. Khi Malacca thành lập năm 1400 và mở rộng quyền thống trị vùng eo biển, VQS cũng biến mất khỏi các dòng sử liệu.</w:t>
      </w:r>
    </w:p>
    <w:p w:rsidR="00F844A9" w:rsidRPr="008F1269" w:rsidRDefault="00F844A9" w:rsidP="00F844A9">
      <w:pPr>
        <w:adjustRightInd w:val="0"/>
        <w:snapToGrid w:val="0"/>
        <w:spacing w:before="60" w:line="312" w:lineRule="auto"/>
        <w:ind w:firstLine="567"/>
        <w:jc w:val="both"/>
        <w:rPr>
          <w:szCs w:val="28"/>
          <w:lang w:val="vi-VN"/>
        </w:rPr>
      </w:pPr>
      <w:r w:rsidRPr="008F1269">
        <w:rPr>
          <w:szCs w:val="28"/>
          <w:lang w:val="vi-VN"/>
        </w:rPr>
        <w:t xml:space="preserve">Hai thập kỷ qua xuất hiện cuộc tranh luận học thuật liên quan tới tính liên tục và “bá quyền” thực sự của VQS. Cơ sở của nó bắt nguồn từ sự thiếu vắng những </w:t>
      </w:r>
      <w:r w:rsidRPr="008F1269">
        <w:rPr>
          <w:szCs w:val="28"/>
          <w:lang w:val="vi-VN"/>
        </w:rPr>
        <w:lastRenderedPageBreak/>
        <w:t xml:space="preserve">dấu tích khảo cổ “xứng tầm” với một “đế chế” kéo dài bảy </w:t>
      </w:r>
      <w:r>
        <w:rPr>
          <w:szCs w:val="28"/>
          <w:lang w:val="vi-VN"/>
        </w:rPr>
        <w:t>thế kỷ</w:t>
      </w:r>
      <w:r w:rsidRPr="008F1269">
        <w:rPr>
          <w:szCs w:val="28"/>
          <w:lang w:val="vi-VN"/>
        </w:rPr>
        <w:t>. Tuy nhiên</w:t>
      </w:r>
      <w:r w:rsidRPr="00BB3852">
        <w:rPr>
          <w:szCs w:val="28"/>
          <w:lang w:val="vi-VN"/>
        </w:rPr>
        <w:t>,</w:t>
      </w:r>
      <w:r w:rsidRPr="008F1269">
        <w:rPr>
          <w:szCs w:val="28"/>
          <w:lang w:val="vi-VN"/>
        </w:rPr>
        <w:t xml:space="preserve"> việc phục dựng và đánh giá vai trò lịch sử của VQS có lẽ cần dựa vào tính chất thương mại và hàng hải đặc thù của các thể chế biển phi nông nghiệp, không sở hữu những vùng định cư lâu đời và hệ thống sản xuất phức tạp. Sự hưng vong của VQS gắn với thăng trầm của thương mại biển Đông Nam Á. Vương quốc này là bá quyền hàng hải (thalassocracy) thứ hai sau Phù Nam, tham gia tạo dựng một giai đoạn bản lề của lịch sử khu vực thời k</w:t>
      </w:r>
      <w:r w:rsidRPr="00BB3852">
        <w:rPr>
          <w:szCs w:val="28"/>
          <w:lang w:val="vi-VN"/>
        </w:rPr>
        <w:t>ỳ</w:t>
      </w:r>
      <w:r w:rsidRPr="008F1269">
        <w:rPr>
          <w:szCs w:val="28"/>
          <w:lang w:val="vi-VN"/>
        </w:rPr>
        <w:t xml:space="preserve"> tiền hiện đại.</w:t>
      </w:r>
    </w:p>
    <w:p w:rsidR="00F844A9" w:rsidRPr="00A872CA" w:rsidRDefault="00F844A9" w:rsidP="00F844A9">
      <w:pPr>
        <w:adjustRightInd w:val="0"/>
        <w:snapToGrid w:val="0"/>
        <w:spacing w:before="60" w:line="312" w:lineRule="auto"/>
        <w:ind w:firstLine="720"/>
        <w:jc w:val="right"/>
        <w:rPr>
          <w:b/>
          <w:bCs/>
          <w:sz w:val="20"/>
          <w:szCs w:val="20"/>
          <w:lang w:val="vi-VN"/>
        </w:rPr>
      </w:pPr>
      <w:r w:rsidRPr="008F1269">
        <w:rPr>
          <w:b/>
          <w:bCs/>
          <w:sz w:val="20"/>
          <w:szCs w:val="20"/>
          <w:lang w:val="vi-VN"/>
        </w:rPr>
        <w:t>VŨ ĐỨC LIÊM</w:t>
      </w:r>
    </w:p>
    <w:p w:rsidR="00F844A9" w:rsidRPr="008F1269" w:rsidRDefault="00F844A9" w:rsidP="00F844A9">
      <w:pPr>
        <w:adjustRightInd w:val="0"/>
        <w:snapToGrid w:val="0"/>
        <w:spacing w:before="60" w:line="312" w:lineRule="auto"/>
        <w:rPr>
          <w:b/>
          <w:sz w:val="24"/>
          <w:szCs w:val="24"/>
          <w:lang w:val="vi-VN"/>
        </w:rPr>
      </w:pPr>
      <w:r w:rsidRPr="008F1269">
        <w:rPr>
          <w:b/>
          <w:sz w:val="24"/>
          <w:szCs w:val="24"/>
          <w:lang w:val="vi-VN"/>
        </w:rPr>
        <w:t>Tài liệu tham khảo</w:t>
      </w:r>
    </w:p>
    <w:p w:rsidR="00F844A9" w:rsidRPr="00B72DCD" w:rsidRDefault="00F844A9" w:rsidP="00F844A9">
      <w:pPr>
        <w:pStyle w:val="ListParagraph"/>
        <w:numPr>
          <w:ilvl w:val="0"/>
          <w:numId w:val="1"/>
        </w:numPr>
        <w:tabs>
          <w:tab w:val="left" w:pos="270"/>
        </w:tabs>
        <w:adjustRightInd w:val="0"/>
        <w:snapToGrid w:val="0"/>
        <w:spacing w:before="60" w:line="312" w:lineRule="auto"/>
        <w:ind w:left="0" w:firstLine="0"/>
        <w:contextualSpacing w:val="0"/>
        <w:jc w:val="both"/>
        <w:rPr>
          <w:sz w:val="22"/>
          <w:szCs w:val="24"/>
          <w:lang w:val="vi-VN"/>
        </w:rPr>
      </w:pPr>
      <w:r w:rsidRPr="00B72DCD">
        <w:rPr>
          <w:rFonts w:eastAsia="Times New Roman"/>
          <w:sz w:val="24"/>
          <w:szCs w:val="26"/>
          <w:lang w:val="fr-FR"/>
        </w:rPr>
        <w:t xml:space="preserve">Ngô Văn Doanh, </w:t>
      </w:r>
      <w:r w:rsidRPr="00B72DCD">
        <w:rPr>
          <w:rFonts w:eastAsia="Times New Roman"/>
          <w:i/>
          <w:iCs/>
          <w:sz w:val="24"/>
          <w:szCs w:val="26"/>
          <w:lang w:val="fr-FR"/>
        </w:rPr>
        <w:t>Inđônexia những chặng đường lịch sử</w:t>
      </w:r>
      <w:r w:rsidRPr="00B72DCD">
        <w:rPr>
          <w:rFonts w:eastAsia="Times New Roman"/>
          <w:sz w:val="24"/>
          <w:szCs w:val="26"/>
          <w:lang w:val="fr-FR"/>
        </w:rPr>
        <w:t>, Chính trị quốc gia, Hà Nội, 1995.</w:t>
      </w:r>
    </w:p>
    <w:p w:rsidR="00F844A9" w:rsidRPr="008F1269" w:rsidRDefault="00F844A9" w:rsidP="00F844A9">
      <w:pPr>
        <w:pStyle w:val="ListParagraph"/>
        <w:numPr>
          <w:ilvl w:val="0"/>
          <w:numId w:val="1"/>
        </w:numPr>
        <w:tabs>
          <w:tab w:val="left" w:pos="270"/>
        </w:tabs>
        <w:adjustRightInd w:val="0"/>
        <w:snapToGrid w:val="0"/>
        <w:spacing w:before="60" w:line="312" w:lineRule="auto"/>
        <w:ind w:left="0" w:firstLine="0"/>
        <w:contextualSpacing w:val="0"/>
        <w:jc w:val="both"/>
        <w:rPr>
          <w:sz w:val="24"/>
          <w:szCs w:val="24"/>
          <w:lang w:val="vi-VN"/>
        </w:rPr>
      </w:pPr>
      <w:r w:rsidRPr="008F1269">
        <w:rPr>
          <w:sz w:val="24"/>
          <w:szCs w:val="24"/>
          <w:lang w:val="vi-VN"/>
        </w:rPr>
        <w:t>Vũ Đức Liêm, “</w:t>
      </w:r>
      <w:r w:rsidRPr="008F1269">
        <w:rPr>
          <w:i/>
          <w:sz w:val="24"/>
          <w:szCs w:val="24"/>
          <w:lang w:val="vi-VN"/>
        </w:rPr>
        <w:t xml:space="preserve">Tiếp cận Khu vực học trong </w:t>
      </w:r>
      <w:r w:rsidRPr="00BB3852">
        <w:rPr>
          <w:i/>
          <w:sz w:val="24"/>
          <w:szCs w:val="24"/>
          <w:lang w:val="vi-VN"/>
        </w:rPr>
        <w:t>n</w:t>
      </w:r>
      <w:r w:rsidRPr="008F1269">
        <w:rPr>
          <w:i/>
          <w:sz w:val="24"/>
          <w:szCs w:val="24"/>
          <w:lang w:val="vi-VN"/>
        </w:rPr>
        <w:t>ghiên cứu cổ sử Đông Nam Á: trường hợp Srivijaya</w:t>
      </w:r>
      <w:r w:rsidRPr="008F1269">
        <w:rPr>
          <w:sz w:val="24"/>
          <w:szCs w:val="24"/>
          <w:lang w:val="vi-VN"/>
        </w:rPr>
        <w:t xml:space="preserve">”, </w:t>
      </w:r>
      <w:r w:rsidRPr="008F1269">
        <w:rPr>
          <w:i/>
          <w:iCs/>
          <w:sz w:val="24"/>
          <w:szCs w:val="24"/>
          <w:lang w:val="vi-VN"/>
        </w:rPr>
        <w:t>Nghiên Cứu Đông Nam Á</w:t>
      </w:r>
      <w:r w:rsidRPr="008F1269">
        <w:rPr>
          <w:sz w:val="24"/>
          <w:szCs w:val="24"/>
          <w:lang w:val="vi-VN"/>
        </w:rPr>
        <w:t xml:space="preserve">, </w:t>
      </w:r>
      <w:r w:rsidRPr="00BB3852">
        <w:rPr>
          <w:sz w:val="24"/>
          <w:szCs w:val="24"/>
          <w:lang w:val="vi-VN"/>
        </w:rPr>
        <w:t xml:space="preserve">số </w:t>
      </w:r>
      <w:r w:rsidRPr="008F1269">
        <w:rPr>
          <w:sz w:val="24"/>
          <w:szCs w:val="24"/>
          <w:lang w:val="vi-VN"/>
        </w:rPr>
        <w:t>9</w:t>
      </w:r>
      <w:r w:rsidRPr="00BB3852">
        <w:rPr>
          <w:sz w:val="24"/>
          <w:szCs w:val="24"/>
          <w:lang w:val="vi-VN"/>
        </w:rPr>
        <w:t xml:space="preserve">, </w:t>
      </w:r>
      <w:r w:rsidRPr="008F1269">
        <w:rPr>
          <w:sz w:val="24"/>
          <w:szCs w:val="24"/>
          <w:lang w:val="vi-VN"/>
        </w:rPr>
        <w:t>2011</w:t>
      </w:r>
      <w:r w:rsidRPr="00BB3852">
        <w:rPr>
          <w:sz w:val="24"/>
          <w:szCs w:val="24"/>
          <w:lang w:val="vi-VN"/>
        </w:rPr>
        <w:t>, tr.</w:t>
      </w:r>
      <w:r w:rsidRPr="008F1269">
        <w:rPr>
          <w:sz w:val="24"/>
          <w:szCs w:val="24"/>
          <w:lang w:val="vi-VN"/>
        </w:rPr>
        <w:t xml:space="preserve"> 26–37.</w:t>
      </w:r>
    </w:p>
    <w:p w:rsidR="00F844A9" w:rsidRPr="00B72DCD" w:rsidRDefault="00F844A9" w:rsidP="00F844A9">
      <w:pPr>
        <w:pStyle w:val="ListParagraph"/>
        <w:numPr>
          <w:ilvl w:val="0"/>
          <w:numId w:val="1"/>
        </w:numPr>
        <w:tabs>
          <w:tab w:val="left" w:pos="270"/>
        </w:tabs>
        <w:adjustRightInd w:val="0"/>
        <w:snapToGrid w:val="0"/>
        <w:spacing w:before="60" w:line="312" w:lineRule="auto"/>
        <w:ind w:left="0" w:firstLine="0"/>
        <w:contextualSpacing w:val="0"/>
        <w:jc w:val="both"/>
        <w:rPr>
          <w:sz w:val="24"/>
          <w:szCs w:val="24"/>
          <w:lang w:val="vi-VN"/>
        </w:rPr>
      </w:pPr>
      <w:r w:rsidRPr="008F1269">
        <w:rPr>
          <w:sz w:val="24"/>
          <w:szCs w:val="24"/>
        </w:rPr>
        <w:t xml:space="preserve">Oliver W Wolters, </w:t>
      </w:r>
      <w:r w:rsidRPr="008F1269">
        <w:rPr>
          <w:i/>
          <w:sz w:val="24"/>
          <w:szCs w:val="24"/>
        </w:rPr>
        <w:t>Early Indonesian Commerce: A Study of the Origins of ʹSrīvijaya</w:t>
      </w:r>
      <w:r w:rsidRPr="008F1269">
        <w:rPr>
          <w:sz w:val="24"/>
          <w:szCs w:val="24"/>
        </w:rPr>
        <w:t>. Ithaca: Cornell University Press, 1967 (Oliver W</w:t>
      </w:r>
      <w:r>
        <w:rPr>
          <w:sz w:val="24"/>
          <w:szCs w:val="24"/>
        </w:rPr>
        <w:t>,</w:t>
      </w:r>
      <w:r w:rsidRPr="008F1269">
        <w:rPr>
          <w:sz w:val="24"/>
          <w:szCs w:val="24"/>
        </w:rPr>
        <w:t xml:space="preserve"> Wolters, </w:t>
      </w:r>
      <w:r w:rsidRPr="008F1269">
        <w:rPr>
          <w:i/>
          <w:iCs/>
          <w:sz w:val="24"/>
          <w:szCs w:val="24"/>
        </w:rPr>
        <w:t>Lịch sử thương mại Indonesia sơ kì: nghiên cứu về các nguồn gốc của Srivijaya</w:t>
      </w:r>
      <w:r w:rsidRPr="008F1269">
        <w:rPr>
          <w:sz w:val="24"/>
          <w:szCs w:val="24"/>
        </w:rPr>
        <w:t>. Nxb</w:t>
      </w:r>
      <w:r>
        <w:rPr>
          <w:sz w:val="24"/>
          <w:szCs w:val="24"/>
        </w:rPr>
        <w:t>.</w:t>
      </w:r>
      <w:r w:rsidRPr="008F1269">
        <w:rPr>
          <w:sz w:val="24"/>
          <w:szCs w:val="24"/>
        </w:rPr>
        <w:t xml:space="preserve"> Đại học Cornell, 1967).</w:t>
      </w:r>
    </w:p>
    <w:p w:rsidR="00F844A9" w:rsidRPr="00A265DB" w:rsidRDefault="00F844A9" w:rsidP="00F844A9">
      <w:pPr>
        <w:pStyle w:val="ListParagraph"/>
        <w:numPr>
          <w:ilvl w:val="0"/>
          <w:numId w:val="1"/>
        </w:numPr>
        <w:tabs>
          <w:tab w:val="left" w:pos="270"/>
        </w:tabs>
        <w:adjustRightInd w:val="0"/>
        <w:snapToGrid w:val="0"/>
        <w:spacing w:before="60" w:line="312" w:lineRule="auto"/>
        <w:ind w:left="0" w:firstLine="0"/>
        <w:contextualSpacing w:val="0"/>
        <w:jc w:val="both"/>
        <w:rPr>
          <w:sz w:val="24"/>
          <w:szCs w:val="24"/>
          <w:lang w:val="vi-VN"/>
        </w:rPr>
      </w:pPr>
      <w:r w:rsidRPr="00A265DB">
        <w:rPr>
          <w:sz w:val="24"/>
          <w:szCs w:val="24"/>
          <w:lang w:val="vi-VN"/>
        </w:rPr>
        <w:t xml:space="preserve">George Cœdès, </w:t>
      </w:r>
      <w:r w:rsidRPr="009618B4">
        <w:rPr>
          <w:i/>
          <w:sz w:val="24"/>
          <w:szCs w:val="24"/>
          <w:lang w:val="vi-VN"/>
        </w:rPr>
        <w:t>Le Royaume de Çrīvijaya</w:t>
      </w:r>
      <w:r w:rsidRPr="00A265DB">
        <w:rPr>
          <w:sz w:val="24"/>
          <w:szCs w:val="24"/>
          <w:lang w:val="vi-VN"/>
        </w:rPr>
        <w:t xml:space="preserve">, </w:t>
      </w:r>
      <w:r w:rsidRPr="00A265DB">
        <w:rPr>
          <w:i/>
          <w:sz w:val="24"/>
          <w:szCs w:val="24"/>
          <w:lang w:val="vi-VN"/>
        </w:rPr>
        <w:t>BEFEO</w:t>
      </w:r>
      <w:r w:rsidRPr="00A265DB">
        <w:rPr>
          <w:sz w:val="24"/>
          <w:szCs w:val="24"/>
          <w:lang w:val="vi-VN"/>
        </w:rPr>
        <w:t xml:space="preserve">, Année 18 (1918), pp. 1–36 (George Cœdès, Vương quốc Srivijaya, </w:t>
      </w:r>
      <w:r w:rsidRPr="00A265DB">
        <w:rPr>
          <w:i/>
          <w:sz w:val="24"/>
          <w:szCs w:val="24"/>
          <w:lang w:val="vi-VN"/>
        </w:rPr>
        <w:t>BEFEO</w:t>
      </w:r>
      <w:r w:rsidRPr="00A265DB">
        <w:rPr>
          <w:sz w:val="24"/>
          <w:szCs w:val="24"/>
          <w:lang w:val="vi-VN"/>
        </w:rPr>
        <w:t>, Année 18 (1918), tr. 1–36).</w:t>
      </w:r>
    </w:p>
    <w:p w:rsidR="00F844A9" w:rsidRPr="008F1269" w:rsidRDefault="00F844A9" w:rsidP="00F844A9">
      <w:pPr>
        <w:pStyle w:val="ListParagraph"/>
        <w:tabs>
          <w:tab w:val="left" w:pos="270"/>
        </w:tabs>
        <w:adjustRightInd w:val="0"/>
        <w:snapToGrid w:val="0"/>
        <w:spacing w:before="60" w:line="312" w:lineRule="auto"/>
        <w:ind w:left="0"/>
        <w:contextualSpacing w:val="0"/>
        <w:jc w:val="both"/>
        <w:rPr>
          <w:sz w:val="24"/>
          <w:szCs w:val="24"/>
          <w:lang w:val="vi-VN"/>
        </w:rPr>
      </w:pPr>
    </w:p>
    <w:p w:rsidR="00C84020" w:rsidRDefault="00C84020"/>
    <w:sectPr w:rsidR="00C84020" w:rsidSect="00E4255A">
      <w:pgSz w:w="12240" w:h="15840"/>
      <w:pgMar w:top="1134" w:right="1418"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E9201F"/>
    <w:multiLevelType w:val="multilevel"/>
    <w:tmpl w:val="46E9201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322671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4A9"/>
    <w:rsid w:val="00C84020"/>
    <w:rsid w:val="00E4255A"/>
    <w:rsid w:val="00F844A9"/>
  </w:rsids>
  <m:mathPr>
    <m:mathFont m:val="Cambria Math"/>
    <m:brkBin m:val="before"/>
    <m:brkBinSub m:val="--"/>
    <m:smallFrac m:val="0"/>
    <m:dispDef/>
    <m:lMargin m:val="0"/>
    <m:rMargin m:val="0"/>
    <m:defJc m:val="centerGroup"/>
    <m:wrapIndent m:val="1440"/>
    <m:intLim m:val="subSup"/>
    <m:naryLim m:val="undOvr"/>
  </m:mathPr>
  <w:themeFontLang w:val="en-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1754E2-BF5B-9748-94CA-25DCEF988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VN"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4A9"/>
    <w:pPr>
      <w:spacing w:line="259" w:lineRule="auto"/>
    </w:pPr>
    <w:rPr>
      <w:rFonts w:ascii="Times New Roman" w:eastAsia="Calibri" w:hAnsi="Times New Roman" w:cs="Times New Roman"/>
      <w:kern w:val="0"/>
      <w:sz w:val="28"/>
      <w:szCs w:val="22"/>
      <w:lang w:val="en-US" w:eastAsia="en-US"/>
      <w14:ligatures w14:val="none"/>
    </w:rPr>
  </w:style>
  <w:style w:type="paragraph" w:styleId="Heading1">
    <w:name w:val="heading 1"/>
    <w:basedOn w:val="Normal"/>
    <w:next w:val="Normal"/>
    <w:link w:val="Heading1Char"/>
    <w:qFormat/>
    <w:rsid w:val="00F844A9"/>
    <w:pPr>
      <w:keepNext/>
      <w:keepLines/>
      <w:spacing w:before="200" w:after="200" w:line="240" w:lineRule="auto"/>
      <w:ind w:firstLine="567"/>
      <w:outlineLvl w:val="0"/>
    </w:pPr>
    <w:rPr>
      <w:rFonts w:eastAsia="SimSun"/>
      <w:b/>
      <w:kern w:val="4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F844A9"/>
    <w:rPr>
      <w:rFonts w:ascii="Times New Roman" w:eastAsia="SimSun" w:hAnsi="Times New Roman" w:cs="Times New Roman"/>
      <w:b/>
      <w:kern w:val="44"/>
      <w:szCs w:val="22"/>
      <w:lang w:val="en-US" w:eastAsia="en-US"/>
      <w14:ligatures w14:val="none"/>
    </w:rPr>
  </w:style>
  <w:style w:type="paragraph" w:styleId="ListParagraph">
    <w:name w:val="List Paragraph"/>
    <w:aliases w:val="Recommendation,En tête 1,List Paragraph11,List Paragraph1,Normal Italics,List Paragraph Char Char Char,Indicator Text,Numbered Para 1,Bullet 1,List Paragraph12,Bullet Points,MAIN CONTENT,列出段落,Colorful Shading - Accent"/>
    <w:basedOn w:val="Normal"/>
    <w:link w:val="ListParagraphChar"/>
    <w:uiPriority w:val="34"/>
    <w:qFormat/>
    <w:rsid w:val="00F844A9"/>
    <w:pPr>
      <w:ind w:left="720"/>
      <w:contextualSpacing/>
    </w:pPr>
  </w:style>
  <w:style w:type="character" w:customStyle="1" w:styleId="ListParagraphChar">
    <w:name w:val="List Paragraph Char"/>
    <w:aliases w:val="Recommendation Char,En tête 1 Char,List Paragraph11 Char,List Paragraph1 Char,Normal Italics Char,List Paragraph Char Char Char Char,Indicator Text Char,Numbered Para 1 Char,Bullet 1 Char,List Paragraph12 Char,Bullet Points Char"/>
    <w:link w:val="ListParagraph"/>
    <w:uiPriority w:val="34"/>
    <w:rsid w:val="00F844A9"/>
    <w:rPr>
      <w:rFonts w:ascii="Times New Roman" w:eastAsia="Calibri" w:hAnsi="Times New Roman" w:cs="Times New Roman"/>
      <w:kern w:val="0"/>
      <w:sz w:val="28"/>
      <w:szCs w:val="22"/>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851</Words>
  <Characters>4854</Characters>
  <Application>Microsoft Office Word</Application>
  <DocSecurity>0</DocSecurity>
  <Lines>40</Lines>
  <Paragraphs>11</Paragraphs>
  <ScaleCrop>false</ScaleCrop>
  <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2025-12-04T20:16:00Z</dcterms:created>
  <dcterms:modified xsi:type="dcterms:W3CDTF">2025-12-04T20:16:00Z</dcterms:modified>
</cp:coreProperties>
</file>